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ПОЛЬЗОВАТЕЛЬСКОЕ СОГЛАШЕНИЕ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SunSolar · Green Sun Solar Ltd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Дата вступления в силу: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Стороны соглашения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Пользовательское соглашение (далее — «Соглашение») заключается между Green Sun Solar Ltd (Reg. No. 13176100, Англия и Уэльс, далее — «Компания») и физическим лицом, прошедшим регистрацию на Платформе SunSolar (далее — «Пользователь»).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Регистрация на Платформе означает полное и безоговорочное принятие условий настоящего Соглашения.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Предмет соглашения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Компания предоставляет Пользователю доступ к Платформе, обеспечивающей: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Активацию узлов сети (пакетов участия)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Начисление ежедневного дохода от работы солнечной фермы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Вывод средств в USDT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Участие в реферальной программе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Доступ к мониторингу объекта (IP-камера, Solar Assistant Dashboard)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Экономическая модель основана на договоре аренды вычислительной мощности. Пользователь арендует долю реального оборудования и получает доход от его эксплуатации.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Регистрация и аккаунт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Для регистрации необходим действующий адрес электронной почты.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Пользователь обязан хранить данные для входа в тайне. Компания не несёт ответственности за несанкционированный доступ к аккаунту вследствие нарушения этого требования.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Запрещается создание нескольких аккаунтов одним лицом. При обнаружении дублирующих аккаунтов Компания вправе заблокировать их все без выплаты остатков.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3.4. Пользователь должен быть старше 18 лет.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Пополнение баланса и выплаты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Пополнение баланса осуществляется исключительно в USDT (TRC-20, ERC-20). Минимальная сумма пополнения — $50.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Вывод средств производится на USDT-кошелёк, указанный пользователем. Минимальная сумма вывода — $10.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Выводы обрабатываются автоматически от нескольких минут до 24 часов..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4.4. Компания не несёт ответственности за задержки, вызванные загруженностью блокчейн-сети или техническими сбоями на стороне платёжной инфраструктуры.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Пакеты участия (узлы)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Пользователь вправе одновременно держать не более 3 активных пакетов.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Тело депозита находится в Lock-периоде в течение всего цикла и возвращается на баланс по его окончании в полном объёме.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Досрочное расторжение цикла по инициативе пользователя не предусмотрено.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В случае технической остановки фермы цикл приостанавливается. Потерянные дни компенсируются продлением цикла.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Реферальная программа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Реферальные вознаграждения начисляются ежедневно, пока узел реферала активен.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Бонус с первой активации реферала — единоразовая выплата от суммы его депозита согласно статусной таблице.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6.3. Компания вправе аннулировать реферальные вознаграждения в случае выявления злоупотреблений (самореферинг, технические манипуляции).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Условия использования игровых активов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Настоящая Платформа является развлекательной игровой средой. Все операции с «игровыми кредитами», «виртуальными узлами» и «расчётными единицами» носят исключительно симуляционный характер и не создают у Пользователя каких-либо имущественных прав. Администрация Платформы оставляет за собой право в одностороннем порядке изменять параметры начисления игровых активов, приостанавливать или прекращать работу Платформы без предварительного уведомления и без каких-либо компенсационных обязательств. Любые переводы цифровых активов в адрес Платформы осуществляются Пользователем добровольно и расцениваются как безвозмездные пожертвования на развитие программного обеспечения. Платформа не является финансовым, инвестиционным или платёжным сервисом в понимании действующего законодательства любой юрисдикции.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Запрещённые действия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Пользователю запрещается: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Использование автоматизированных скриптов и ботов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Попытки взлома или обхода системы безопасности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Создание фиктивных рефералов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Использование платформы для отмывания денег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Регистрация от имени третьих лиц без их согласия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Нарушение любого из этих пунктов влечёт немедленную блокировку аккаунта без возврата средств.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Применимое право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Соглашение регулируется законодательством Англии и Уэльса. Все споры рассматриваются в судах по месту регистрации Компании.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Актуализация правил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Администрация вправе в любое время без предварительного уведомления изменять, дополнять или отменять любые положения настоящего Соглашения, а также правила начисления и выплаты игровых активов. Продолжение использования Платформы после внесения изменений означает автоматическое согласие Пользователя с обновлёнными условиями. Администрация также вправе изменять доходность активных узлов в одностороннем порядке в связи с изменением рыночной конъюнктуры, технических параметров сети или иных факторов по усмотрению Администрации.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Контакты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Green Sun Solar Ltd · Reg. No. 13176100 support@sunsolar.pro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